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1278"/>
        <w:gridCol w:w="3121"/>
      </w:tblGrid>
      <w:tr w:rsidR="00614BD9" w14:paraId="46EAC0A5" w14:textId="77777777" w:rsidTr="00224DF3">
        <w:trPr>
          <w:trHeight w:val="296"/>
        </w:trPr>
        <w:tc>
          <w:tcPr>
            <w:tcW w:w="9361" w:type="dxa"/>
            <w:gridSpan w:val="4"/>
            <w:tcFitText/>
          </w:tcPr>
          <w:p w14:paraId="3E4E8698" w14:textId="5AC6F464" w:rsidR="00614BD9" w:rsidRPr="001F31AE" w:rsidRDefault="005E0F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object w:dxaOrig="1440" w:dyaOrig="1440" w14:anchorId="3E65D2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45pt;margin-top:-26.4pt;width:80.8pt;height:42.45pt;z-index:251659264">
                  <v:imagedata r:id="rId5" o:title=""/>
                  <w10:wrap anchorx="page"/>
                </v:shape>
                <o:OLEObject Type="Embed" ProgID="PhotoDeluxeBusiness.Image.1" ShapeID="_x0000_s1026" DrawAspect="Content" ObjectID="_1659348089" r:id="rId6"/>
              </w:object>
            </w:r>
          </w:p>
          <w:p w14:paraId="658E4577" w14:textId="77777777" w:rsidR="00614BD9" w:rsidRPr="001F31AE" w:rsidRDefault="00614B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1E0BD4AD" w14:textId="77777777" w:rsidR="00614BD9" w:rsidRDefault="00614B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14BD9" w14:paraId="3C3AB5DE" w14:textId="77777777" w:rsidTr="00224DF3">
        <w:trPr>
          <w:trHeight w:val="566"/>
        </w:trPr>
        <w:tc>
          <w:tcPr>
            <w:tcW w:w="9361" w:type="dxa"/>
            <w:gridSpan w:val="4"/>
            <w:hideMark/>
          </w:tcPr>
          <w:p w14:paraId="36ED64F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4C4633B6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614BD9" w14:paraId="7FABD47A" w14:textId="77777777" w:rsidTr="00224DF3">
        <w:trPr>
          <w:trHeight w:val="284"/>
        </w:trPr>
        <w:tc>
          <w:tcPr>
            <w:tcW w:w="9361" w:type="dxa"/>
            <w:gridSpan w:val="4"/>
            <w:hideMark/>
          </w:tcPr>
          <w:p w14:paraId="335FDCF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614BD9" w14:paraId="5D8A9A39" w14:textId="77777777" w:rsidTr="00224DF3">
        <w:trPr>
          <w:trHeight w:val="70"/>
        </w:trPr>
        <w:tc>
          <w:tcPr>
            <w:tcW w:w="9361" w:type="dxa"/>
            <w:gridSpan w:val="4"/>
          </w:tcPr>
          <w:p w14:paraId="7E033EBB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49E80EAB" w14:textId="77777777" w:rsidTr="00224DF3">
        <w:trPr>
          <w:trHeight w:val="429"/>
        </w:trPr>
        <w:tc>
          <w:tcPr>
            <w:tcW w:w="9361" w:type="dxa"/>
            <w:gridSpan w:val="4"/>
            <w:hideMark/>
          </w:tcPr>
          <w:p w14:paraId="294B5426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614BD9" w14:paraId="7C1D45D8" w14:textId="77777777" w:rsidTr="00224DF3">
        <w:trPr>
          <w:trHeight w:val="70"/>
        </w:trPr>
        <w:tc>
          <w:tcPr>
            <w:tcW w:w="9361" w:type="dxa"/>
            <w:gridSpan w:val="4"/>
          </w:tcPr>
          <w:p w14:paraId="6687A04B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3E0987AF" w14:textId="77777777" w:rsidTr="00224DF3">
        <w:trPr>
          <w:trHeight w:val="68"/>
        </w:trPr>
        <w:tc>
          <w:tcPr>
            <w:tcW w:w="9361" w:type="dxa"/>
            <w:gridSpan w:val="4"/>
            <w:hideMark/>
          </w:tcPr>
          <w:p w14:paraId="0A0D5F3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614BD9" w14:paraId="3B24473E" w14:textId="77777777" w:rsidTr="00224DF3">
        <w:trPr>
          <w:trHeight w:val="68"/>
        </w:trPr>
        <w:tc>
          <w:tcPr>
            <w:tcW w:w="9361" w:type="dxa"/>
            <w:gridSpan w:val="4"/>
          </w:tcPr>
          <w:p w14:paraId="0EA716D9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6B75FF30" w14:textId="77777777" w:rsidTr="00224DF3">
        <w:trPr>
          <w:trHeight w:val="429"/>
        </w:trPr>
        <w:tc>
          <w:tcPr>
            <w:tcW w:w="9361" w:type="dxa"/>
            <w:gridSpan w:val="4"/>
            <w:hideMark/>
          </w:tcPr>
          <w:p w14:paraId="79CDE924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614BD9" w14:paraId="236BE2F7" w14:textId="77777777" w:rsidTr="00224DF3">
        <w:tc>
          <w:tcPr>
            <w:tcW w:w="3120" w:type="dxa"/>
          </w:tcPr>
          <w:p w14:paraId="28CBD10C" w14:textId="77777777" w:rsidR="00614BD9" w:rsidRDefault="00614B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2E1F6F89" w14:textId="77777777" w:rsidR="00614BD9" w:rsidRDefault="00614BD9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069AC3" w14:textId="77777777" w:rsidR="00614BD9" w:rsidRDefault="00614BD9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4BD9" w:rsidRPr="00435922" w14:paraId="176E6EA7" w14:textId="77777777" w:rsidTr="00224DF3">
        <w:tc>
          <w:tcPr>
            <w:tcW w:w="3120" w:type="dxa"/>
            <w:hideMark/>
          </w:tcPr>
          <w:p w14:paraId="7CEED313" w14:textId="77777777" w:rsidR="00614BD9" w:rsidRPr="00435922" w:rsidRDefault="00614B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35922">
              <w:rPr>
                <w:rFonts w:ascii="Arial" w:hAnsi="Arial" w:cs="Arial"/>
                <w:sz w:val="24"/>
                <w:szCs w:val="24"/>
                <w:u w:val="single"/>
              </w:rPr>
              <w:t xml:space="preserve">  19 августа 2020 г.</w:t>
            </w:r>
          </w:p>
        </w:tc>
        <w:tc>
          <w:tcPr>
            <w:tcW w:w="3120" w:type="dxa"/>
            <w:gridSpan w:val="2"/>
            <w:hideMark/>
          </w:tcPr>
          <w:p w14:paraId="71248CB1" w14:textId="77777777" w:rsidR="00614BD9" w:rsidRPr="00435922" w:rsidRDefault="00614BD9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922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121" w:type="dxa"/>
            <w:vAlign w:val="center"/>
            <w:hideMark/>
          </w:tcPr>
          <w:p w14:paraId="223647D5" w14:textId="30D75058" w:rsidR="00614BD9" w:rsidRPr="00435922" w:rsidRDefault="00614BD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35922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№31-</w:t>
            </w:r>
            <w:r w:rsidR="00435922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</w:t>
            </w:r>
            <w:r w:rsidRPr="00435922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 </w:t>
            </w:r>
          </w:p>
        </w:tc>
      </w:tr>
      <w:tr w:rsidR="00614BD9" w14:paraId="0725C61D" w14:textId="77777777" w:rsidTr="00224DF3">
        <w:tc>
          <w:tcPr>
            <w:tcW w:w="3120" w:type="dxa"/>
          </w:tcPr>
          <w:p w14:paraId="0297BFF5" w14:textId="77777777" w:rsidR="00614BD9" w:rsidRDefault="00614BD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2ABD1D4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649D71DB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:rsidRPr="00224DF3" w14:paraId="300AD880" w14:textId="77777777" w:rsidTr="00224DF3">
        <w:tc>
          <w:tcPr>
            <w:tcW w:w="4962" w:type="dxa"/>
            <w:gridSpan w:val="2"/>
            <w:hideMark/>
          </w:tcPr>
          <w:p w14:paraId="4F2DFB0F" w14:textId="77777777" w:rsidR="00614BD9" w:rsidRPr="00224DF3" w:rsidRDefault="00614BD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24D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практике работы </w:t>
            </w:r>
            <w:r w:rsidRPr="00224DF3">
              <w:rPr>
                <w:rStyle w:val="a5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первичных профсоюзных общественных организаций</w:t>
            </w:r>
            <w:r w:rsidRPr="00224DF3">
              <w:rPr>
                <w:rStyle w:val="a5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24DF3">
              <w:rPr>
                <w:rFonts w:ascii="Arial" w:hAnsi="Arial" w:cs="Arial"/>
                <w:sz w:val="24"/>
                <w:szCs w:val="24"/>
                <w:lang w:eastAsia="en-US"/>
              </w:rPr>
              <w:t>АО «Авиастар-СП» ПРОФАВИА, АО «Ульяновское конструкторское бюро приборостроения» по защите трудовых прав и законных интересов членов профсоюза</w:t>
            </w:r>
          </w:p>
        </w:tc>
        <w:tc>
          <w:tcPr>
            <w:tcW w:w="1278" w:type="dxa"/>
          </w:tcPr>
          <w:p w14:paraId="320554F4" w14:textId="77777777" w:rsidR="00614BD9" w:rsidRPr="00224DF3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1198DAB4" w14:textId="77777777" w:rsidR="00614BD9" w:rsidRPr="00224DF3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14:paraId="20381194" w14:textId="77777777" w:rsidTr="00224DF3">
        <w:tc>
          <w:tcPr>
            <w:tcW w:w="3120" w:type="dxa"/>
          </w:tcPr>
          <w:p w14:paraId="2B206751" w14:textId="77777777" w:rsidR="00614BD9" w:rsidRDefault="00614BD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528467A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452464B3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:rsidRPr="00224DF3" w14:paraId="1CB5FF3B" w14:textId="77777777" w:rsidTr="00224DF3">
        <w:tc>
          <w:tcPr>
            <w:tcW w:w="9361" w:type="dxa"/>
            <w:gridSpan w:val="4"/>
          </w:tcPr>
          <w:p w14:paraId="2207197C" w14:textId="1825E80A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Первичной профсоюзной общественной организацией АО «Авиастар-СП» (председатель Грушина Валентина Дмитриевна) и первичной профсоюзной общественной организацией ОАО «Ульяновское конструкторское бюро приборостроения» (председатель Коновалов Владимир Геннадьевич) проводится значительная работа по отстаиванию трудовых прав и законных интересов работников -членов профсоюза (ст.2 Устава ПРОФАВИА).</w:t>
            </w:r>
          </w:p>
          <w:p w14:paraId="05695ECD" w14:textId="631009C6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Одним из важнейших способов защиты трудовых прав и законных интересов работников является осуществление первичными профсоюзными общественными организациями профсоюзного контроля за соблюдением 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работодателями:</w:t>
            </w:r>
          </w:p>
          <w:p w14:paraId="36668D27" w14:textId="77777777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-трудового законодательства и иных нормативных правовых актов, содержащих нормы трудового права;</w:t>
            </w:r>
          </w:p>
          <w:p w14:paraId="1741F13B" w14:textId="77777777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-коллективных договоров, соглашений (ст.370 ТК РФ).</w:t>
            </w:r>
          </w:p>
          <w:p w14:paraId="57D012AA" w14:textId="4C051853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Например, в 2019 году ППОО АО «Авиастар-СП» проведена 271 проверка соблюдения работодателем трудового законодательства и выявлено 149 нарушений, которые устранены. Аналогичные проверки были проведены в АО «УКБП».</w:t>
            </w:r>
          </w:p>
          <w:p w14:paraId="6468E05E" w14:textId="0751AE4F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lastRenderedPageBreak/>
              <w:t>Для осуществления квалифицированного контроля в организациях действуют технические инспекторы труда, а в штате ППОО АО «Авиастар-СП» также правовой инспектор труда, который осуществляет юридические консультации для членов профсоюза, готовит правовое обоснование обсуждаемых вопросов на заседании профкома.</w:t>
            </w:r>
          </w:p>
          <w:p w14:paraId="26746378" w14:textId="57A54E25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Для защиты трудовых прав и законных интересов работников значительную роль играет установленный Трудовым кодексом РФ порядок учета мнения  выборного органа ППОО, представляющего интересы работников при принятии работодателем локальных нормативных актов (ЛНА), содержащих нормы трудового права.</w:t>
            </w:r>
          </w:p>
          <w:p w14:paraId="5A18CCF5" w14:textId="2E373560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 Работодатели перед принятием решения направляют проекты ЛНА, обоснование необходимости их принятия в профсоюзный комитет.</w:t>
            </w:r>
          </w:p>
          <w:p w14:paraId="047BAF18" w14:textId="3BFC12D8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Поскольку система </w:t>
            </w:r>
            <w:proofErr w:type="spellStart"/>
            <w:r w:rsidRPr="00224DF3">
              <w:rPr>
                <w:rFonts w:ascii="Arial" w:hAnsi="Arial" w:cs="Arial"/>
                <w:sz w:val="24"/>
                <w:szCs w:val="24"/>
              </w:rPr>
              <w:t>учета</w:t>
            </w:r>
            <w:proofErr w:type="spellEnd"/>
            <w:r w:rsidRPr="00224DF3">
              <w:rPr>
                <w:rFonts w:ascii="Arial" w:hAnsi="Arial" w:cs="Arial"/>
                <w:sz w:val="24"/>
                <w:szCs w:val="24"/>
              </w:rPr>
              <w:t xml:space="preserve"> мнения профсоюзного комитета носит совещательный, а не согласительный характер, первичным профсоюзным общественным организациям удалось включить в коллективные договоры основные положения Отраслевого </w:t>
            </w:r>
            <w:r w:rsidR="009F0239">
              <w:rPr>
                <w:rFonts w:ascii="Arial" w:hAnsi="Arial" w:cs="Arial"/>
                <w:sz w:val="24"/>
                <w:szCs w:val="24"/>
              </w:rPr>
              <w:t>соглашения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по авиационной промышленности РФ, касающиеся 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согласования:</w:t>
            </w:r>
          </w:p>
          <w:p w14:paraId="17F8E843" w14:textId="77777777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- правил внутреннего трудового распорядка; </w:t>
            </w:r>
          </w:p>
          <w:p w14:paraId="42F32330" w14:textId="77777777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- продолжительности рабочего времени;</w:t>
            </w:r>
          </w:p>
          <w:p w14:paraId="0499C1E8" w14:textId="08C62818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- графиков сменности; </w:t>
            </w:r>
          </w:p>
          <w:p w14:paraId="19B0901D" w14:textId="2AC63929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224DF3">
              <w:rPr>
                <w:rFonts w:ascii="Arial" w:hAnsi="Arial" w:cs="Arial"/>
                <w:sz w:val="24"/>
                <w:szCs w:val="24"/>
              </w:rPr>
              <w:t>очередности</w:t>
            </w:r>
            <w:proofErr w:type="spellEnd"/>
            <w:r w:rsidRPr="00224DF3">
              <w:rPr>
                <w:rFonts w:ascii="Arial" w:hAnsi="Arial" w:cs="Arial"/>
                <w:sz w:val="24"/>
                <w:szCs w:val="24"/>
              </w:rPr>
              <w:t xml:space="preserve"> предоставления отпусков;</w:t>
            </w:r>
          </w:p>
          <w:p w14:paraId="2595702B" w14:textId="19946D94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- введения, замены и пересмотра норм труда;</w:t>
            </w:r>
          </w:p>
          <w:p w14:paraId="70FCEDF8" w14:textId="4E6FC68E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-инструкций по охране труда и др.</w:t>
            </w:r>
          </w:p>
          <w:p w14:paraId="324246D2" w14:textId="3EA2522C" w:rsidR="00614BD9" w:rsidRPr="00224DF3" w:rsidRDefault="00614BD9" w:rsidP="0022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Профсоюзным комитетам  АО «Авиастар-СП», ОАО «УКБП» удалось договориться и закрепить в своих коллективных договорах обязательство работодателя ежегодно   проводить индексацию заработной платы для всех категорий работников, в том числе индексацию тарифных ставок и окладов на величину не менее официально установленного в Ульяновской области роста индекса потребительных цен. Данное положение выполняется работодателем. Председатели ППОО АО «Авиастар-СП» и ОАО «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УКБП» участвуют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в работе коллегиального руководящего органа организации.</w:t>
            </w:r>
          </w:p>
          <w:p w14:paraId="33A3A65B" w14:textId="2C406339" w:rsidR="00614BD9" w:rsidRPr="00224DF3" w:rsidRDefault="00614BD9" w:rsidP="00224D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В развитие Отраслевого соглашения по авиационной промышленности РФ в коллективном договоре АО «УКБП» закреплены более высокие гарантии защиты профсоюзной деятельности. А именно, работодатель сохраняет средний заработок на период трудоустройства, но не свыше шести месяцев, за </w:t>
            </w:r>
            <w:proofErr w:type="spellStart"/>
            <w:r w:rsidRPr="00224DF3">
              <w:rPr>
                <w:rFonts w:ascii="Arial" w:hAnsi="Arial" w:cs="Arial"/>
                <w:sz w:val="24"/>
                <w:szCs w:val="24"/>
              </w:rPr>
              <w:lastRenderedPageBreak/>
              <w:t>освобожденными</w:t>
            </w:r>
            <w:proofErr w:type="spellEnd"/>
            <w:r w:rsidRPr="00224DF3">
              <w:rPr>
                <w:rFonts w:ascii="Arial" w:hAnsi="Arial" w:cs="Arial"/>
                <w:sz w:val="24"/>
                <w:szCs w:val="24"/>
              </w:rPr>
              <w:t xml:space="preserve"> от основной работы профсоюзными работниками после окончания их выборных полномочий, либо в случае сокращения численности или штата, при невозможности предоставления им прежней или равноценной должности (работы) в той же организации.</w:t>
            </w:r>
          </w:p>
          <w:p w14:paraId="2831B026" w14:textId="2365D529" w:rsidR="00614BD9" w:rsidRPr="00224DF3" w:rsidRDefault="00614BD9" w:rsidP="0022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Реализуя пункт 3.3. Отраслевого соглашения по авиационной промышленности РФ первичная профсоюзная общественная организация АО «Авиастар-СП» с 2014 года каждые три года заключает соглашение с работодателем о дополнительных льготах и гарантиях для членов профсоюза.  </w:t>
            </w:r>
          </w:p>
          <w:p w14:paraId="153F7966" w14:textId="2B6138DC" w:rsidR="00614BD9" w:rsidRPr="00224DF3" w:rsidRDefault="00614BD9" w:rsidP="00224DF3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Положительным фактором является наличие в организациях комиссий по трудовым спорам (КТС), за последние два года в АО «Авиастар-СП» комиссией   рассмотрено 17 заявлений, большинство из которых удовлетворены в пользу работников.</w:t>
            </w:r>
          </w:p>
          <w:p w14:paraId="3F20FE7E" w14:textId="0FFC1141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Профсоюзные комитеты разрешают возникающие трудовые конфликты в результате переговоров. Например, ППОО АО «Авиастар-СП» удалось убедить работодателя о нецелесообразности сокращения численности в одном из подразделений, т.к. это могло повлиять на сохранность материальных ценностей. В результате переговоров сокращение работников цеха отменено. Также при сокращении численности (штата) профсоюзному комитету удавалось доказать преимущественное право оставления на работе членов профсоюза или трудоустроить их на вакансии внутри предприятия.</w:t>
            </w:r>
          </w:p>
          <w:p w14:paraId="6FD009B4" w14:textId="306F22D9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Профсоюзные комитеты проводят систематическое обучение профсоюзного актива, в том числе ежегодные выездные семинары с привлечением специалистов.</w:t>
            </w:r>
          </w:p>
          <w:p w14:paraId="1B1127BE" w14:textId="49FAA612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Ежегодно уровень профсоюзного членства в ППОО АО «Авиастар-СП» повышается и увеличился с 45,3 %  в 2013 году до 57,4 % в настоящее время,  в ППОО АО «УКБП» профсоюзное членство сохраняется на уровне 92%.</w:t>
            </w:r>
          </w:p>
          <w:p w14:paraId="7C2E667B" w14:textId="77777777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Профсоюзные комитеты добросовестно организуют работу по защите трудовых прав и интересов работников - членов профсоюза.</w:t>
            </w:r>
          </w:p>
          <w:p w14:paraId="1B1E814F" w14:textId="17DC2656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Вместе с тем, в целях оптимизации в АО «Авиастар – СП» имеет место сокращение численности (штата) работников, а в АО «УКБП» прекращение приема на работу новых работников и сокращение высвобождаемых штатных единиц в связи с увольнением работников по собственному желанию или другим основаниям. При этом объемы производственных работ остаются прежними или не всегда сокращаются пропорционально снижению фактической численности работников, а фонд заработной платы 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- оптимизируется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, что может </w:t>
            </w:r>
            <w:r w:rsidRPr="00224DF3">
              <w:rPr>
                <w:rFonts w:ascii="Arial" w:hAnsi="Arial" w:cs="Arial"/>
                <w:sz w:val="24"/>
                <w:szCs w:val="24"/>
              </w:rPr>
              <w:lastRenderedPageBreak/>
              <w:t xml:space="preserve">квалифицироваться как скрытое (латентное) правонарушение трудовых прав и законных интересов работников. </w:t>
            </w:r>
          </w:p>
          <w:p w14:paraId="7C537AA7" w14:textId="2FC21F38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В соответствии с частью 2 статьи 57 Трудового кодекса РФ работодатель обязан включать в трудовой договор условия оплаты труда, доплаты, надбавки и поощрительные выплаты.</w:t>
            </w:r>
          </w:p>
          <w:p w14:paraId="29955965" w14:textId="741791A0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Однако, дополнительные соглашения к трудовым договорам с 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указанием условий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оплаты труда (доплаты) за увеличение объема работы, расширение зоны обслуживания, совмещение трудовых функций, не предусмотренных трудовым договором, в большинстве случаев не оформляются.</w:t>
            </w:r>
          </w:p>
          <w:p w14:paraId="619353ED" w14:textId="51F716EE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  Работникам производится доплата из фонда премирования начальника цеха, но не более 30% размера (уровня) 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оплаты труда работников,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ранее выполнявших эту работу до увольнения по сокращению или другим основаниям. То есть имеет место нарушение основных принципов правового регулирования трудовых отношений (предусмотренных ст.37 Конституции РФ, ст. 2 ТК РФ) в части обеспечения права каждого работника на своевременную и в полном размере выплату справедливой заработной платы без какой бы то ни было дискриминации.</w:t>
            </w:r>
          </w:p>
          <w:p w14:paraId="6C079BF0" w14:textId="67269DA6" w:rsidR="00614BD9" w:rsidRPr="00224DF3" w:rsidRDefault="00614BD9" w:rsidP="00224DF3">
            <w:pPr>
              <w:spacing w:after="0" w:line="36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Подобные нарушения имеют место не только на предприятиях Ульяновской области, но и в других регионах.</w:t>
            </w:r>
          </w:p>
          <w:p w14:paraId="7AF63527" w14:textId="49A8A28A" w:rsidR="00614BD9" w:rsidRPr="00224DF3" w:rsidRDefault="00614BD9" w:rsidP="0022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Учитывая изложенное, президиум </w:t>
            </w:r>
            <w:r w:rsidR="00224DF3">
              <w:rPr>
                <w:rFonts w:ascii="Arial" w:hAnsi="Arial" w:cs="Arial"/>
                <w:sz w:val="24"/>
                <w:szCs w:val="24"/>
              </w:rPr>
              <w:t>Центрального комитета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профсоюза  </w:t>
            </w:r>
            <w:r w:rsidRPr="00224DF3">
              <w:rPr>
                <w:rFonts w:ascii="Arial" w:hAnsi="Arial" w:cs="Arial"/>
                <w:sz w:val="24"/>
                <w:szCs w:val="24"/>
              </w:rPr>
              <w:br/>
              <w:t xml:space="preserve"> п о с т а н о в л я е т:</w:t>
            </w:r>
          </w:p>
          <w:p w14:paraId="526219D2" w14:textId="2D7604BD" w:rsidR="00614BD9" w:rsidRPr="00224DF3" w:rsidRDefault="00614BD9" w:rsidP="00224DF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Информацию принять к сведению и одобрить практику работы </w:t>
            </w:r>
            <w:r w:rsidRPr="00224DF3">
              <w:rPr>
                <w:rFonts w:ascii="Arial" w:hAnsi="Arial" w:cs="Arial"/>
                <w:bCs/>
                <w:sz w:val="24"/>
                <w:szCs w:val="24"/>
              </w:rPr>
              <w:t>первичной профсоюзной общественной организации АО «Авиастар-СП»,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F3">
              <w:rPr>
                <w:rFonts w:ascii="Arial" w:hAnsi="Arial" w:cs="Arial"/>
                <w:bCs/>
                <w:sz w:val="24"/>
                <w:szCs w:val="24"/>
              </w:rPr>
              <w:t>первичной профсоюзной общественной организации АО «УКБП» по защите социально-трудовых прав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и интересов работников</w:t>
            </w:r>
            <w:r w:rsidR="00D12327">
              <w:rPr>
                <w:rFonts w:ascii="Arial" w:hAnsi="Arial" w:cs="Arial"/>
                <w:sz w:val="24"/>
                <w:szCs w:val="24"/>
              </w:rPr>
              <w:t xml:space="preserve"> (прилагается)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885627C" w14:textId="1C7A3F32" w:rsidR="00614BD9" w:rsidRPr="00224DF3" w:rsidRDefault="00614BD9" w:rsidP="00224DF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Рекомендовать территориальным и первичным профсоюзным общественным организациям:</w:t>
            </w:r>
          </w:p>
          <w:p w14:paraId="501FF6AD" w14:textId="36C0C2C0" w:rsidR="00614BD9" w:rsidRPr="00224DF3" w:rsidRDefault="00614BD9" w:rsidP="00224DF3">
            <w:pPr>
              <w:pStyle w:val="a4"/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2.1. Особое внимание уделять соблюдению отраслевого соглашения по авиационной промышленности РФ на 2020-2022г.г., в том числе при проведении процедуры сокращения численности (штата) работников, обращая внимание на выявление скрытых правонарушений трудовых прав работников.</w:t>
            </w:r>
          </w:p>
          <w:p w14:paraId="75473D8F" w14:textId="5415C8E9" w:rsidR="00614BD9" w:rsidRPr="00224DF3" w:rsidRDefault="00614BD9" w:rsidP="00224DF3">
            <w:pPr>
              <w:pStyle w:val="a4"/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2.2.  Добиваться включения в трудовые договоры работников условий оплаты труда (доплаты) в связи с увеличением объема работы, расширением зоны обслуживания, совмещением трудовых функций, не предусмотренных трудовым договором.</w:t>
            </w:r>
          </w:p>
          <w:p w14:paraId="625034AC" w14:textId="5D38A25C" w:rsidR="00614BD9" w:rsidRPr="00224DF3" w:rsidRDefault="00614BD9" w:rsidP="00224DF3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lastRenderedPageBreak/>
              <w:t xml:space="preserve">2.3. Использовать опыт работы ППОО «Авиастар-СП» по заключению соглашения о дополнительных льготах и гарантиях для членов Профсоюза в целях усиления мотивации 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профсоюзного членства</w:t>
            </w:r>
            <w:r w:rsidRPr="00224D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7FB204" w14:textId="37C0F285" w:rsidR="00614BD9" w:rsidRPr="00224DF3" w:rsidRDefault="00614BD9" w:rsidP="0022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>2.4. Продолжить практику проведения систематической</w:t>
            </w:r>
            <w:r w:rsidR="00224D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DF3">
              <w:rPr>
                <w:rFonts w:ascii="Arial" w:hAnsi="Arial" w:cs="Arial"/>
                <w:sz w:val="24"/>
                <w:szCs w:val="24"/>
              </w:rPr>
              <w:t>учебы       профсоюзного актива по вопросам применения трудового законодательства.</w:t>
            </w:r>
          </w:p>
          <w:p w14:paraId="15011DAB" w14:textId="347DF738" w:rsidR="00614BD9" w:rsidRPr="00224DF3" w:rsidRDefault="00614BD9" w:rsidP="00224DF3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DF3">
              <w:rPr>
                <w:rFonts w:ascii="Arial" w:hAnsi="Arial" w:cs="Arial"/>
                <w:sz w:val="24"/>
                <w:szCs w:val="24"/>
              </w:rPr>
              <w:t xml:space="preserve">3.Комиссии ЦК Профсоюза по правозащитной работе </w:t>
            </w:r>
            <w:r w:rsidR="00224DF3" w:rsidRPr="00224DF3">
              <w:rPr>
                <w:rFonts w:ascii="Arial" w:hAnsi="Arial" w:cs="Arial"/>
                <w:sz w:val="24"/>
                <w:szCs w:val="24"/>
              </w:rPr>
              <w:t>продолжить изучение</w:t>
            </w:r>
            <w:r w:rsidRPr="00224DF3">
              <w:rPr>
                <w:rFonts w:ascii="Arial" w:hAnsi="Arial" w:cs="Arial"/>
                <w:sz w:val="24"/>
                <w:szCs w:val="24"/>
              </w:rPr>
              <w:t xml:space="preserve"> практики работы организаций Профсоюза по защите трудовых прав и интересов работников.</w:t>
            </w:r>
          </w:p>
          <w:p w14:paraId="3579FC3A" w14:textId="50254A81" w:rsidR="00614BD9" w:rsidRDefault="00614BD9" w:rsidP="0022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D956C5" w14:textId="57EDA0DA" w:rsidR="00224DF3" w:rsidRDefault="009E14A5" w:rsidP="009E14A5">
            <w:pPr>
              <w:widowControl w:val="0"/>
              <w:tabs>
                <w:tab w:val="left" w:pos="3012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038FC98C" w14:textId="7DF31396" w:rsidR="00224DF3" w:rsidRDefault="00224DF3" w:rsidP="0022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76C74B" w14:textId="77777777" w:rsidR="00224DF3" w:rsidRDefault="00224DF3" w:rsidP="0022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BE390" w14:textId="7F9C231D" w:rsidR="00224DF3" w:rsidRPr="00224DF3" w:rsidRDefault="00224DF3" w:rsidP="00224D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Председатель                                                                                     А.В. Тихомиров</w:t>
            </w:r>
          </w:p>
        </w:tc>
      </w:tr>
    </w:tbl>
    <w:p w14:paraId="0D0D2DD6" w14:textId="71436F67" w:rsidR="00614BD9" w:rsidRPr="00224DF3" w:rsidRDefault="00614BD9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4DA43572" w14:textId="786D2337" w:rsidR="00614BD9" w:rsidRPr="00224DF3" w:rsidRDefault="00614BD9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FABDC94" w14:textId="2CA725E6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2DF86AD6" w14:textId="78A88E7B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528D267" w14:textId="5EE66BF5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46CC69C" w14:textId="4C0C0C30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53C6C27" w14:textId="7A0DB80E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7B5AF182" w14:textId="6AF01550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176E9F77" w14:textId="09E86662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3AC8263" w14:textId="7C12E00F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7B2AA651" w14:textId="2E3B6FD5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93E0257" w14:textId="1AEC93C8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0EE20C6" w14:textId="4A6BF97C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2B4EF4AC" w14:textId="0F0D3BA3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9B584D4" w14:textId="13B57DBA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4A511B4" w14:textId="3BA4E4A8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FE4D8B3" w14:textId="495A126F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1F820A23" w14:textId="5ACBA413" w:rsidR="00224DF3" w:rsidRP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5162520E" w14:textId="484C7D04" w:rsidR="00224DF3" w:rsidRDefault="00224DF3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964D5C6" w14:textId="6C69E62B" w:rsidR="008D3714" w:rsidRDefault="008D3714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35AFE646" w14:textId="3821DF93" w:rsidR="008D3714" w:rsidRDefault="008D3714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68AE392" w14:textId="77777777" w:rsidR="008D3714" w:rsidRPr="00224DF3" w:rsidRDefault="008D3714" w:rsidP="00224DF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8D3714" w:rsidRPr="0022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3F76"/>
    <w:multiLevelType w:val="hybridMultilevel"/>
    <w:tmpl w:val="B8A2C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2B30DA"/>
    <w:multiLevelType w:val="hybridMultilevel"/>
    <w:tmpl w:val="C0B0D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F023DD"/>
    <w:multiLevelType w:val="hybridMultilevel"/>
    <w:tmpl w:val="C358A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485CAA"/>
    <w:multiLevelType w:val="hybridMultilevel"/>
    <w:tmpl w:val="4BF21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B2195F"/>
    <w:multiLevelType w:val="multilevel"/>
    <w:tmpl w:val="000AC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7208A"/>
    <w:multiLevelType w:val="hybridMultilevel"/>
    <w:tmpl w:val="F3209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E72C26"/>
    <w:multiLevelType w:val="multilevel"/>
    <w:tmpl w:val="CA6411C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CD"/>
    <w:rsid w:val="000812EA"/>
    <w:rsid w:val="001F31AE"/>
    <w:rsid w:val="00224DF3"/>
    <w:rsid w:val="00421983"/>
    <w:rsid w:val="00435922"/>
    <w:rsid w:val="00532ACD"/>
    <w:rsid w:val="005E0F05"/>
    <w:rsid w:val="00614BD9"/>
    <w:rsid w:val="00620907"/>
    <w:rsid w:val="0076218C"/>
    <w:rsid w:val="008D3714"/>
    <w:rsid w:val="009E14A5"/>
    <w:rsid w:val="009F0239"/>
    <w:rsid w:val="00AD44D8"/>
    <w:rsid w:val="00AF007F"/>
    <w:rsid w:val="00D12327"/>
    <w:rsid w:val="00E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D12C3"/>
  <w15:chartTrackingRefBased/>
  <w15:docId w15:val="{9996FEDA-1354-4C60-A586-91539EA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14BD9"/>
    <w:pPr>
      <w:ind w:left="720"/>
      <w:contextualSpacing/>
    </w:pPr>
  </w:style>
  <w:style w:type="character" w:styleId="a5">
    <w:name w:val="Strong"/>
    <w:basedOn w:val="a0"/>
    <w:uiPriority w:val="22"/>
    <w:qFormat/>
    <w:rsid w:val="00614BD9"/>
    <w:rPr>
      <w:b/>
      <w:bCs/>
    </w:rPr>
  </w:style>
  <w:style w:type="character" w:customStyle="1" w:styleId="depname">
    <w:name w:val="dep_name"/>
    <w:basedOn w:val="a0"/>
    <w:rsid w:val="00224DF3"/>
  </w:style>
  <w:style w:type="character" w:customStyle="1" w:styleId="a6">
    <w:name w:val="Основной текст_"/>
    <w:basedOn w:val="a0"/>
    <w:link w:val="1"/>
    <w:rsid w:val="00224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24DF3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D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7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Safonov.Boris@office.profavia.ru</dc:creator>
  <cp:keywords/>
  <dc:description/>
  <cp:lastModifiedBy>Тамара Власенко</cp:lastModifiedBy>
  <cp:revision>12</cp:revision>
  <cp:lastPrinted>2020-08-19T08:05:00Z</cp:lastPrinted>
  <dcterms:created xsi:type="dcterms:W3CDTF">2020-08-11T08:32:00Z</dcterms:created>
  <dcterms:modified xsi:type="dcterms:W3CDTF">2020-08-19T10:15:00Z</dcterms:modified>
</cp:coreProperties>
</file>